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宋简体" w:eastAsia="方正粗宋简体"/>
          <w:bCs/>
          <w:color w:val="FF0000"/>
          <w:spacing w:val="12"/>
          <w:w w:val="90"/>
          <w:sz w:val="52"/>
          <w:szCs w:val="52"/>
        </w:rPr>
      </w:pPr>
    </w:p>
    <w:p>
      <w:pPr>
        <w:jc w:val="center"/>
        <w:rPr>
          <w:rFonts w:ascii="方正粗宋简体" w:eastAsia="方正粗宋简体"/>
          <w:bCs/>
          <w:color w:val="FF0000"/>
          <w:spacing w:val="12"/>
          <w:w w:val="90"/>
          <w:sz w:val="52"/>
          <w:szCs w:val="52"/>
        </w:rPr>
      </w:pPr>
    </w:p>
    <w:p>
      <w:pPr>
        <w:jc w:val="center"/>
        <w:rPr>
          <w:rFonts w:hint="eastAsia" w:ascii="方正粗宋简体" w:eastAsia="方正粗宋简体"/>
          <w:bCs/>
          <w:color w:val="FF0000"/>
          <w:spacing w:val="12"/>
          <w:w w:val="90"/>
          <w:sz w:val="52"/>
          <w:szCs w:val="52"/>
        </w:rPr>
      </w:pPr>
      <w:r>
        <w:rPr>
          <w:rFonts w:hint="eastAsia" w:ascii="方正粗宋简体" w:eastAsia="方正粗宋简体"/>
          <w:bCs/>
          <w:color w:val="FF0000"/>
          <w:spacing w:val="12"/>
          <w:w w:val="90"/>
          <w:sz w:val="52"/>
          <w:szCs w:val="52"/>
        </w:rPr>
        <w:t>中共首都师范大学委员会宣传部文件</w:t>
      </w:r>
    </w:p>
    <w:p>
      <w:pPr>
        <w:spacing w:line="580" w:lineRule="exact"/>
        <w:rPr>
          <w:rFonts w:hint="eastAsia" w:eastAsia="华文中宋"/>
          <w:b/>
          <w:bCs/>
          <w:sz w:val="32"/>
          <w:szCs w:val="32"/>
        </w:rPr>
      </w:pPr>
    </w:p>
    <w:p>
      <w:pPr>
        <w:spacing w:line="280" w:lineRule="atLeas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宣发〔201</w:t>
      </w:r>
      <w:r>
        <w:rPr>
          <w:rFonts w:ascii="仿宋_GB2312" w:hAnsi="宋体" w:eastAsia="仿宋_GB2312"/>
          <w:sz w:val="32"/>
          <w:szCs w:val="32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380" w:lineRule="exact"/>
        <w:jc w:val="center"/>
        <w:rPr>
          <w:rFonts w:hint="eastAsia" w:eastAsia="华文中宋"/>
          <w:b/>
          <w:bCs/>
          <w:color w:val="FF0000"/>
          <w:sz w:val="56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114300</wp:posOffset>
                </wp:positionV>
                <wp:extent cx="2684145" cy="0"/>
                <wp:effectExtent l="0" t="0" r="0" b="0"/>
                <wp:wrapSquare wrapText="bothSides"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84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9.5pt;margin-top:9pt;height:0pt;width:211.3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Z49ZtcAAAAJAQAADwAAAAAAAAABACAAAAAi&#10;AAAAZHJzL2Rvd25yZXYueG1sUEsBAhQAFAAAAAgAh07iQLiCjnPSAQAAZwMAAA4AAAAAAAAAAQAg&#10;AAAAJgEAAGRycy9lMm9Eb2MueG1sUEsFBgAAAAAGAAYAWQEAAGoFAAAAAA==&#10;">
                <v:fill on="f" focussize="0,0"/>
                <v:stroke weight="1.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114300</wp:posOffset>
                </wp:positionV>
                <wp:extent cx="2566035" cy="0"/>
                <wp:effectExtent l="0" t="0" r="0" b="0"/>
                <wp:wrapSquare wrapText="bothSides"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660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05pt;margin-top:9pt;height:0pt;width:202.05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/gzF1wAAAAkBAAAPAAAAAAAAAAEAIAAAACIA&#10;AABkcnMvZG93bnJldi54bWxQSwECFAAUAAAACACHTuJAj+SjVNEBAABnAwAADgAAAAAAAAABACAA&#10;AAAmAQAAZHJzL2Uyb0RvYy54bWxQSwUGAAAAAAYABgBZAQAAaQUAAAAA&#10;">
                <v:fill on="f" focussize="0,0"/>
                <v:stroke weight="1.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华文中宋" w:hAnsi="华文中宋"/>
          <w:color w:val="FF0000"/>
          <w:sz w:val="44"/>
          <w:szCs w:val="44"/>
        </w:rPr>
        <w:t>★</w:t>
      </w:r>
    </w:p>
    <w:p>
      <w:pPr>
        <w:spacing w:before="624" w:beforeLines="200" w:line="120" w:lineRule="auto"/>
        <w:jc w:val="center"/>
        <w:rPr>
          <w:rFonts w:ascii="仿宋" w:hAnsi="仿宋" w:eastAsia="仿宋"/>
          <w:b/>
          <w:sz w:val="36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line="360" w:lineRule="atLeast"/>
        <w:ind w:left="0" w:right="0"/>
        <w:jc w:val="center"/>
        <w:rPr>
          <w:rFonts w:hint="eastAsia" w:ascii="黑体" w:hAnsi="黑体" w:eastAsia="黑体" w:cs="黑体"/>
          <w:b/>
          <w:bCs/>
          <w:spacing w:val="-18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pacing w:val="-18"/>
          <w:sz w:val="44"/>
          <w:szCs w:val="44"/>
        </w:rPr>
        <w:t>关于</w:t>
      </w:r>
      <w:r>
        <w:rPr>
          <w:rFonts w:hint="eastAsia" w:ascii="黑体" w:hAnsi="黑体" w:eastAsia="黑体" w:cs="黑体"/>
          <w:b/>
          <w:bCs/>
          <w:spacing w:val="-18"/>
          <w:sz w:val="44"/>
          <w:szCs w:val="44"/>
          <w:lang w:eastAsia="zh-CN"/>
        </w:rPr>
        <w:t>发布《首都师范大学视觉形象识别系统</w:t>
      </w:r>
    </w:p>
    <w:p>
      <w:pPr>
        <w:pStyle w:val="5"/>
        <w:keepNext w:val="0"/>
        <w:keepLines w:val="0"/>
        <w:widowControl/>
        <w:suppressLineNumbers w:val="0"/>
        <w:spacing w:line="360" w:lineRule="atLeast"/>
        <w:ind w:left="0" w:right="0"/>
        <w:jc w:val="center"/>
        <w:rPr>
          <w:rFonts w:hint="eastAsia" w:ascii="黑体" w:hAnsi="黑体" w:eastAsia="黑体" w:cs="黑体"/>
          <w:b/>
          <w:bCs/>
          <w:spacing w:val="-18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pacing w:val="-18"/>
          <w:sz w:val="44"/>
          <w:szCs w:val="44"/>
          <w:lang w:eastAsia="zh-CN"/>
        </w:rPr>
        <w:t>管理手册</w:t>
      </w:r>
      <w:r>
        <w:rPr>
          <w:rFonts w:hint="eastAsia" w:ascii="黑体" w:hAnsi="黑体" w:eastAsia="黑体" w:cs="黑体"/>
          <w:b/>
          <w:bCs/>
          <w:spacing w:val="-18"/>
          <w:sz w:val="44"/>
          <w:szCs w:val="44"/>
          <w:lang w:val="en-US" w:eastAsia="zh-CN"/>
        </w:rPr>
        <w:t>(</w:t>
      </w:r>
      <w:r>
        <w:rPr>
          <w:rFonts w:hint="eastAsia" w:ascii="黑体" w:hAnsi="黑体" w:eastAsia="黑体" w:cs="黑体"/>
          <w:b/>
          <w:bCs/>
          <w:spacing w:val="-18"/>
          <w:sz w:val="44"/>
          <w:szCs w:val="44"/>
          <w:lang w:eastAsia="zh-CN"/>
        </w:rPr>
        <w:t>I</w:t>
      </w:r>
      <w:r>
        <w:rPr>
          <w:rFonts w:hint="eastAsia" w:ascii="黑体" w:hAnsi="黑体" w:eastAsia="黑体" w:cs="黑体"/>
          <w:b/>
          <w:bCs/>
          <w:spacing w:val="-18"/>
          <w:sz w:val="44"/>
          <w:szCs w:val="44"/>
          <w:lang w:val="en-US" w:eastAsia="zh-CN"/>
        </w:rPr>
        <w:t>)</w:t>
      </w:r>
      <w:r>
        <w:rPr>
          <w:rFonts w:hint="eastAsia" w:ascii="黑体" w:hAnsi="黑体" w:eastAsia="黑体" w:cs="黑体"/>
          <w:b/>
          <w:bCs/>
          <w:spacing w:val="-18"/>
          <w:sz w:val="44"/>
          <w:szCs w:val="44"/>
          <w:lang w:eastAsia="zh-CN"/>
        </w:rPr>
        <w:t>》的通知</w:t>
      </w:r>
    </w:p>
    <w:p>
      <w:pPr>
        <w:spacing w:line="480" w:lineRule="exact"/>
      </w:pPr>
    </w:p>
    <w:p>
      <w:pPr>
        <w:spacing w:line="480" w:lineRule="exact"/>
        <w:rPr>
          <w:rFonts w:ascii="仿宋_GB2312" w:hAnsi="Tahoma" w:eastAsia="仿宋_GB2312" w:cs="Tahoma"/>
          <w:color w:val="000000" w:themeColor="text1"/>
          <w:kern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ahoma" w:eastAsia="仿宋_GB2312" w:cs="Tahoma"/>
          <w:color w:val="000000" w:themeColor="text1"/>
          <w:kern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各院系单位：</w:t>
      </w:r>
    </w:p>
    <w:p>
      <w:pPr>
        <w:spacing w:line="56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视觉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形象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识别系统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V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IS（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Visual Identity System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即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用系统、统一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视觉符号传达体系，将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组织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理念、文化特质、服务内容、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组织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规范等最具传播力和感染力的抽象语意转换为具体符号，塑造出独特的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instrText xml:space="preserve"> HYPERLINK "http://baike.baidu.com/item/%E4%BC%81%E4%B8%9A%E5%BD%A2%E8%B1%A1" \t "http://baike.baidu.com/_blank" </w:instrTex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组织</w:t>
      </w:r>
      <w:r>
        <w:rPr>
          <w:rFonts w:hint="default" w:ascii="仿宋_GB2312" w:eastAsia="仿宋_GB2312"/>
          <w:color w:val="000000"/>
          <w:sz w:val="32"/>
          <w:szCs w:val="32"/>
          <w:lang w:eastAsia="zh-CN"/>
        </w:rPr>
        <w:t>形象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，使受众实现对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组织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组织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品牌形象的快速识别与认知，在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组织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对外宣传和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组织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识别上产生最有效、最直接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作用。视觉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形象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识别系统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包括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基本要素系统和应用要素系统两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大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方面。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视觉形象识别系统是文化的重要组成部分，</w:t>
      </w:r>
      <w:r>
        <w:rPr>
          <w:rFonts w:hint="eastAsia" w:ascii="仿宋_GB2312" w:eastAsia="仿宋_GB2312"/>
          <w:color w:val="000000"/>
          <w:sz w:val="32"/>
          <w:szCs w:val="32"/>
        </w:rPr>
        <w:t>具有浸润、</w:t>
      </w:r>
      <w:r>
        <w:rPr>
          <w:rFonts w:ascii="仿宋_GB2312" w:eastAsia="仿宋_GB2312"/>
          <w:color w:val="000000"/>
          <w:sz w:val="32"/>
          <w:szCs w:val="32"/>
        </w:rPr>
        <w:t>感染和熏陶</w:t>
      </w:r>
      <w:r>
        <w:rPr>
          <w:rFonts w:hint="eastAsia" w:ascii="仿宋_GB2312" w:eastAsia="仿宋_GB2312"/>
          <w:color w:val="000000"/>
          <w:sz w:val="32"/>
          <w:szCs w:val="32"/>
        </w:rPr>
        <w:t>作用。</w:t>
      </w:r>
    </w:p>
    <w:p>
      <w:pPr>
        <w:spacing w:line="56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当前，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视觉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形象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识别系统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已成为各类组织提升自身凝聚力与影响力、增强员工认同感与自豪感的重要抓手。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我校于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2014年60周年校庆之际，发布实施了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《首都师范大学视觉形象识别系统管理手册》（以下简称《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VIS系统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》）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。近期对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VIS系统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》进行了修订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现发于您，请您在本单位办公、宣传以及各项文化建设工作中参照执行。</w:t>
      </w:r>
    </w:p>
    <w:p>
      <w:pPr>
        <w:spacing w:line="56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widowControl/>
        <w:spacing w:line="480" w:lineRule="exact"/>
        <w:jc w:val="left"/>
        <w:rPr>
          <w:rFonts w:hint="eastAsia" w:ascii="仿宋_GB2312" w:hAnsi="Tahoma" w:eastAsia="仿宋_GB2312" w:cs="Tahoma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</w:rPr>
        <w:t>附件：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首都师范大学视觉形象识别系统（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I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 xml:space="preserve">                                       </w:t>
      </w:r>
    </w:p>
    <w:p>
      <w:pPr>
        <w:spacing w:line="500" w:lineRule="exact"/>
        <w:ind w:right="560" w:firstLine="605" w:firstLineChars="200"/>
        <w:jc w:val="right"/>
        <w:rPr>
          <w:rFonts w:hint="eastAsia" w:ascii="仿宋_GB2312" w:hAnsi="Tahoma" w:eastAsia="仿宋_GB2312" w:cs="Tahoma"/>
          <w:kern w:val="0"/>
          <w:sz w:val="32"/>
          <w:szCs w:val="32"/>
        </w:rPr>
      </w:pPr>
    </w:p>
    <w:p>
      <w:pPr>
        <w:spacing w:line="500" w:lineRule="exact"/>
        <w:ind w:right="560" w:firstLine="605" w:firstLineChars="200"/>
        <w:jc w:val="right"/>
        <w:rPr>
          <w:rFonts w:hint="eastAsia" w:ascii="仿宋_GB2312" w:hAnsi="Tahoma" w:eastAsia="仿宋_GB2312" w:cs="Tahoma"/>
          <w:kern w:val="0"/>
          <w:sz w:val="32"/>
          <w:szCs w:val="32"/>
        </w:rPr>
      </w:pPr>
    </w:p>
    <w:p>
      <w:pPr>
        <w:spacing w:line="500" w:lineRule="exact"/>
        <w:ind w:right="560" w:firstLine="605" w:firstLineChars="200"/>
        <w:jc w:val="right"/>
        <w:rPr>
          <w:rFonts w:hint="eastAsia" w:ascii="仿宋_GB2312" w:hAnsi="Tahoma" w:eastAsia="仿宋_GB2312" w:cs="Tahoma"/>
          <w:kern w:val="0"/>
          <w:sz w:val="32"/>
          <w:szCs w:val="32"/>
        </w:rPr>
      </w:pPr>
    </w:p>
    <w:p>
      <w:pPr>
        <w:spacing w:line="500" w:lineRule="exact"/>
        <w:ind w:right="560" w:firstLine="605" w:firstLineChars="200"/>
        <w:jc w:val="right"/>
        <w:rPr>
          <w:rFonts w:hint="eastAsia" w:ascii="仿宋_GB2312" w:hAnsi="Tahoma" w:eastAsia="仿宋_GB2312" w:cs="Tahoma"/>
          <w:kern w:val="0"/>
          <w:sz w:val="32"/>
          <w:szCs w:val="32"/>
        </w:rPr>
      </w:pPr>
    </w:p>
    <w:p>
      <w:pPr>
        <w:spacing w:line="500" w:lineRule="exact"/>
        <w:ind w:right="560" w:firstLine="605" w:firstLineChars="200"/>
        <w:jc w:val="right"/>
        <w:rPr>
          <w:rFonts w:hint="eastAsia" w:ascii="仿宋_GB2312" w:hAnsi="Tahoma" w:eastAsia="仿宋_GB2312" w:cs="Tahoma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</w:rPr>
        <w:t xml:space="preserve"> </w:t>
      </w:r>
    </w:p>
    <w:p>
      <w:pPr>
        <w:spacing w:line="500" w:lineRule="exact"/>
        <w:ind w:right="560" w:firstLine="605" w:firstLineChars="200"/>
        <w:jc w:val="center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eastAsia="zh-CN"/>
        </w:rPr>
        <w:t>党委</w:t>
      </w:r>
      <w:r>
        <w:rPr>
          <w:rFonts w:hint="eastAsia" w:ascii="仿宋_GB2312" w:hAnsi="华文仿宋" w:eastAsia="仿宋_GB2312"/>
          <w:sz w:val="32"/>
          <w:szCs w:val="32"/>
        </w:rPr>
        <w:t>宣传部</w:t>
      </w:r>
    </w:p>
    <w:p>
      <w:pPr>
        <w:spacing w:line="500" w:lineRule="exact"/>
        <w:ind w:right="560" w:firstLine="605" w:firstLineChars="200"/>
        <w:jc w:val="center"/>
        <w:rPr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文化建设办公室</w:t>
      </w:r>
    </w:p>
    <w:p>
      <w:pPr>
        <w:spacing w:line="500" w:lineRule="exact"/>
        <w:ind w:firstLine="605" w:firstLineChars="200"/>
        <w:jc w:val="center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华文仿宋" w:eastAsia="仿宋_GB2312"/>
          <w:sz w:val="32"/>
          <w:szCs w:val="32"/>
        </w:rPr>
        <w:t>201</w:t>
      </w:r>
      <w:r>
        <w:rPr>
          <w:rFonts w:ascii="仿宋_GB2312" w:hAnsi="华文仿宋" w:eastAsia="仿宋_GB2312"/>
          <w:sz w:val="32"/>
          <w:szCs w:val="32"/>
        </w:rPr>
        <w:t>7</w:t>
      </w:r>
      <w:r>
        <w:rPr>
          <w:rFonts w:hint="eastAsia" w:ascii="仿宋_GB2312" w:hAnsi="华文仿宋" w:eastAsia="仿宋_GB2312"/>
          <w:sz w:val="32"/>
          <w:szCs w:val="32"/>
        </w:rPr>
        <w:t>年</w:t>
      </w:r>
      <w:r>
        <w:rPr>
          <w:rFonts w:ascii="仿宋_GB2312" w:hAnsi="华文仿宋" w:eastAsia="仿宋_GB2312"/>
          <w:sz w:val="32"/>
          <w:szCs w:val="32"/>
        </w:rPr>
        <w:t>4</w:t>
      </w:r>
      <w:r>
        <w:rPr>
          <w:rFonts w:hint="eastAsia" w:ascii="仿宋_GB2312" w:hAnsi="华文仿宋" w:eastAsia="仿宋_GB2312"/>
          <w:sz w:val="32"/>
          <w:szCs w:val="32"/>
        </w:rPr>
        <w:t>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华文仿宋" w:eastAsia="仿宋_GB2312"/>
          <w:sz w:val="32"/>
          <w:szCs w:val="32"/>
        </w:rPr>
        <w:t>日</w:t>
      </w:r>
    </w:p>
    <w:p>
      <w:pPr>
        <w:spacing w:line="500" w:lineRule="exact"/>
        <w:ind w:firstLine="605" w:firstLineChars="200"/>
        <w:jc w:val="right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500" w:lineRule="exact"/>
        <w:ind w:firstLine="605" w:firstLineChars="200"/>
        <w:jc w:val="right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500" w:lineRule="exact"/>
        <w:ind w:firstLine="605" w:firstLineChars="200"/>
        <w:jc w:val="right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500" w:lineRule="exact"/>
        <w:ind w:firstLine="605" w:firstLineChars="200"/>
        <w:jc w:val="right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500" w:lineRule="exact"/>
        <w:ind w:firstLine="605" w:firstLineChars="200"/>
        <w:jc w:val="right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500" w:lineRule="exact"/>
        <w:ind w:firstLine="605" w:firstLineChars="200"/>
        <w:jc w:val="right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500" w:lineRule="exact"/>
        <w:ind w:firstLine="605" w:firstLineChars="200"/>
        <w:jc w:val="right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500" w:lineRule="exact"/>
        <w:ind w:firstLine="605" w:firstLineChars="200"/>
        <w:jc w:val="right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500" w:lineRule="exact"/>
        <w:ind w:firstLine="605" w:firstLineChars="200"/>
        <w:jc w:val="right"/>
        <w:rPr>
          <w:rFonts w:hint="eastAsia" w:ascii="仿宋_GB2312" w:hAnsi="华文仿宋" w:eastAsia="仿宋_GB2312"/>
          <w:sz w:val="18"/>
          <w:szCs w:val="18"/>
        </w:rPr>
      </w:pPr>
    </w:p>
    <w:p>
      <w:pPr>
        <w:spacing w:line="240" w:lineRule="auto"/>
        <w:ind w:firstLine="605" w:firstLineChars="200"/>
        <w:jc w:val="right"/>
        <w:rPr>
          <w:rFonts w:hint="eastAsia" w:ascii="仿宋_GB2312" w:hAnsi="华文仿宋" w:eastAsia="仿宋_GB2312"/>
          <w:sz w:val="18"/>
          <w:szCs w:val="18"/>
        </w:rPr>
      </w:pPr>
    </w:p>
    <w:tbl>
      <w:tblPr>
        <w:tblStyle w:val="17"/>
        <w:tblpPr w:leftFromText="180" w:rightFromText="180" w:vertAnchor="text" w:horzAnchor="margin" w:tblpY="194"/>
        <w:tblW w:w="9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4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中共首都师范大学委员会宣传部办公室              201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tabs>
          <w:tab w:val="left" w:pos="613"/>
        </w:tabs>
        <w:jc w:val="left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1134" w:footer="1588" w:gutter="0"/>
      <w:pgNumType w:fmt="numberInDash"/>
      <w:cols w:space="425" w:num="1"/>
      <w:docGrid w:type="linesAndChars" w:linePitch="28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ews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黑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楷体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Lingoes Unicode">
    <w:panose1 w:val="020B0604020202020204"/>
    <w:charset w:val="86"/>
    <w:family w:val="auto"/>
    <w:pitch w:val="default"/>
    <w:sig w:usb0="800002FF" w:usb1="100FFFFF" w:usb2="00000000" w:usb3="00000000" w:csb0="003E019F" w:csb1="4F03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DejaVu Sans Mono">
    <w:panose1 w:val="020B0609030804020204"/>
    <w:charset w:val="00"/>
    <w:family w:val="auto"/>
    <w:pitch w:val="default"/>
    <w:sig w:usb0="E60002FF" w:usb1="500071FB" w:usb2="00000020" w:usb3="00000000" w:csb0="600001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Century Gothic" w:hAnsi="Century Gothic"/>
        <w:sz w:val="22"/>
        <w:szCs w:val="22"/>
      </w:rPr>
    </w:pPr>
    <w:r>
      <w:rPr>
        <w:rStyle w:val="7"/>
        <w:rFonts w:ascii="Century Gothic" w:hAnsi="Century Gothic"/>
        <w:sz w:val="22"/>
        <w:szCs w:val="22"/>
      </w:rPr>
      <w:fldChar w:fldCharType="begin"/>
    </w:r>
    <w:r>
      <w:rPr>
        <w:rStyle w:val="7"/>
        <w:rFonts w:ascii="Century Gothic" w:hAnsi="Century Gothic"/>
        <w:sz w:val="22"/>
        <w:szCs w:val="22"/>
      </w:rPr>
      <w:instrText xml:space="preserve">PAGE  </w:instrText>
    </w:r>
    <w:r>
      <w:rPr>
        <w:rStyle w:val="7"/>
        <w:rFonts w:ascii="Century Gothic" w:hAnsi="Century Gothic"/>
        <w:sz w:val="22"/>
        <w:szCs w:val="22"/>
      </w:rPr>
      <w:fldChar w:fldCharType="separate"/>
    </w:r>
    <w:r>
      <w:rPr>
        <w:rStyle w:val="7"/>
        <w:rFonts w:ascii="Century Gothic" w:hAnsi="Century Gothic"/>
        <w:sz w:val="22"/>
        <w:szCs w:val="22"/>
      </w:rPr>
      <w:t>- 2 -</w:t>
    </w:r>
    <w:r>
      <w:rPr>
        <w:rStyle w:val="7"/>
        <w:rFonts w:ascii="Century Gothic" w:hAnsi="Century Gothic"/>
        <w:sz w:val="22"/>
        <w:szCs w:val="22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49"/>
    <w:rsid w:val="000C57BF"/>
    <w:rsid w:val="001C3A49"/>
    <w:rsid w:val="002F1F26"/>
    <w:rsid w:val="00331C7A"/>
    <w:rsid w:val="004414D4"/>
    <w:rsid w:val="004501C5"/>
    <w:rsid w:val="0047257A"/>
    <w:rsid w:val="007904BA"/>
    <w:rsid w:val="009E5E86"/>
    <w:rsid w:val="00A72B85"/>
    <w:rsid w:val="00B63AF4"/>
    <w:rsid w:val="00BA59BA"/>
    <w:rsid w:val="00BC5E5A"/>
    <w:rsid w:val="00C64F26"/>
    <w:rsid w:val="00E271DF"/>
    <w:rsid w:val="00E73AB8"/>
    <w:rsid w:val="00E85056"/>
    <w:rsid w:val="00F02E5E"/>
    <w:rsid w:val="00F21474"/>
    <w:rsid w:val="017031B1"/>
    <w:rsid w:val="05734109"/>
    <w:rsid w:val="065417DF"/>
    <w:rsid w:val="070053F0"/>
    <w:rsid w:val="09E64E94"/>
    <w:rsid w:val="0C2523EC"/>
    <w:rsid w:val="0C2E7D04"/>
    <w:rsid w:val="0C8306A2"/>
    <w:rsid w:val="0C834466"/>
    <w:rsid w:val="0C8D1D7A"/>
    <w:rsid w:val="0F7C27A0"/>
    <w:rsid w:val="111E5458"/>
    <w:rsid w:val="12C67D8B"/>
    <w:rsid w:val="142273DD"/>
    <w:rsid w:val="14275415"/>
    <w:rsid w:val="148E5407"/>
    <w:rsid w:val="18292180"/>
    <w:rsid w:val="199F6313"/>
    <w:rsid w:val="1C485E69"/>
    <w:rsid w:val="1D3343DD"/>
    <w:rsid w:val="221E413A"/>
    <w:rsid w:val="229B7B10"/>
    <w:rsid w:val="23A4753F"/>
    <w:rsid w:val="23BA44D7"/>
    <w:rsid w:val="254D3402"/>
    <w:rsid w:val="26730380"/>
    <w:rsid w:val="287C0FCC"/>
    <w:rsid w:val="2C31034C"/>
    <w:rsid w:val="2CDE7FFA"/>
    <w:rsid w:val="2EB965CB"/>
    <w:rsid w:val="2F3B4E7F"/>
    <w:rsid w:val="2F5954A7"/>
    <w:rsid w:val="302E4E5E"/>
    <w:rsid w:val="30515534"/>
    <w:rsid w:val="31C94A71"/>
    <w:rsid w:val="33747CDA"/>
    <w:rsid w:val="348F7E49"/>
    <w:rsid w:val="34F47F0A"/>
    <w:rsid w:val="3507002E"/>
    <w:rsid w:val="35420A2F"/>
    <w:rsid w:val="3A742107"/>
    <w:rsid w:val="3C5C0271"/>
    <w:rsid w:val="3D62042E"/>
    <w:rsid w:val="3DB828B9"/>
    <w:rsid w:val="3ED9751C"/>
    <w:rsid w:val="3FAE1392"/>
    <w:rsid w:val="45B57823"/>
    <w:rsid w:val="461E79DF"/>
    <w:rsid w:val="46A404B5"/>
    <w:rsid w:val="46A95C7C"/>
    <w:rsid w:val="46E34A71"/>
    <w:rsid w:val="473574CB"/>
    <w:rsid w:val="478413CF"/>
    <w:rsid w:val="48340180"/>
    <w:rsid w:val="4B105BC1"/>
    <w:rsid w:val="4C7C3BD2"/>
    <w:rsid w:val="4CD067F7"/>
    <w:rsid w:val="4E546971"/>
    <w:rsid w:val="511E6340"/>
    <w:rsid w:val="53EC1165"/>
    <w:rsid w:val="54595268"/>
    <w:rsid w:val="55403050"/>
    <w:rsid w:val="55751609"/>
    <w:rsid w:val="55812DE4"/>
    <w:rsid w:val="55A57130"/>
    <w:rsid w:val="56942557"/>
    <w:rsid w:val="571A090C"/>
    <w:rsid w:val="58137762"/>
    <w:rsid w:val="5C505C07"/>
    <w:rsid w:val="5CC50BA1"/>
    <w:rsid w:val="5CD0340A"/>
    <w:rsid w:val="5DB42890"/>
    <w:rsid w:val="5EC66F05"/>
    <w:rsid w:val="5ED57442"/>
    <w:rsid w:val="5FA30097"/>
    <w:rsid w:val="5FF55FAF"/>
    <w:rsid w:val="61046B06"/>
    <w:rsid w:val="643D116A"/>
    <w:rsid w:val="64614C75"/>
    <w:rsid w:val="64873FBB"/>
    <w:rsid w:val="65FB3D5D"/>
    <w:rsid w:val="66581586"/>
    <w:rsid w:val="6AC9099F"/>
    <w:rsid w:val="6BE902A4"/>
    <w:rsid w:val="6C465517"/>
    <w:rsid w:val="6E774BF7"/>
    <w:rsid w:val="6F4D12E2"/>
    <w:rsid w:val="6FC62123"/>
    <w:rsid w:val="701F31A9"/>
    <w:rsid w:val="70EB6009"/>
    <w:rsid w:val="726F1E3D"/>
    <w:rsid w:val="72751519"/>
    <w:rsid w:val="73412593"/>
    <w:rsid w:val="74202DA9"/>
    <w:rsid w:val="74E02FEB"/>
    <w:rsid w:val="75B01931"/>
    <w:rsid w:val="768F144E"/>
    <w:rsid w:val="77A344C9"/>
    <w:rsid w:val="78791533"/>
    <w:rsid w:val="78B2498E"/>
    <w:rsid w:val="79D1242A"/>
    <w:rsid w:val="7BB35859"/>
    <w:rsid w:val="7DB51A26"/>
    <w:rsid w:val="7E6C6747"/>
    <w:rsid w:val="7F34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default" w:ascii="PingFang SC" w:hAnsi="PingFang SC" w:eastAsia="PingFang SC" w:cs="PingFang SC"/>
      <w:kern w:val="0"/>
      <w:sz w:val="24"/>
      <w:szCs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unhideWhenUsed/>
    <w:qFormat/>
    <w:uiPriority w:val="99"/>
    <w:rPr>
      <w:color w:val="3F88BF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Variable"/>
    <w:basedOn w:val="6"/>
    <w:unhideWhenUsed/>
    <w:qFormat/>
    <w:uiPriority w:val="99"/>
  </w:style>
  <w:style w:type="character" w:styleId="12">
    <w:name w:val="Hyperlink"/>
    <w:basedOn w:val="6"/>
    <w:unhideWhenUsed/>
    <w:qFormat/>
    <w:uiPriority w:val="99"/>
    <w:rPr>
      <w:color w:val="3F88BF"/>
      <w:u w:val="none"/>
    </w:rPr>
  </w:style>
  <w:style w:type="character" w:styleId="13">
    <w:name w:val="HTML Code"/>
    <w:basedOn w:val="6"/>
    <w:unhideWhenUsed/>
    <w:qFormat/>
    <w:uiPriority w:val="99"/>
    <w:rPr>
      <w:rFonts w:hint="default" w:ascii="PingFang SC" w:hAnsi="PingFang SC" w:eastAsia="PingFang SC" w:cs="PingFang SC"/>
      <w:color w:val="EE5E0F"/>
      <w:sz w:val="18"/>
      <w:szCs w:val="18"/>
    </w:rPr>
  </w:style>
  <w:style w:type="character" w:styleId="14">
    <w:name w:val="HTML Cite"/>
    <w:basedOn w:val="6"/>
    <w:unhideWhenUsed/>
    <w:qFormat/>
    <w:uiPriority w:val="99"/>
  </w:style>
  <w:style w:type="character" w:styleId="15">
    <w:name w:val="HTML Keyboard"/>
    <w:basedOn w:val="6"/>
    <w:unhideWhenUsed/>
    <w:qFormat/>
    <w:uiPriority w:val="99"/>
    <w:rPr>
      <w:rFonts w:hint="default" w:ascii="PingFang SC" w:hAnsi="PingFang SC" w:eastAsia="PingFang SC" w:cs="PingFang SC"/>
      <w:sz w:val="20"/>
    </w:rPr>
  </w:style>
  <w:style w:type="character" w:styleId="16">
    <w:name w:val="HTML Sample"/>
    <w:basedOn w:val="6"/>
    <w:unhideWhenUsed/>
    <w:qFormat/>
    <w:uiPriority w:val="99"/>
    <w:rPr>
      <w:rFonts w:hint="eastAsia" w:ascii="PingFang SC" w:hAnsi="PingFang SC" w:eastAsia="PingFang SC" w:cs="PingFang SC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legend"/>
    <w:basedOn w:val="6"/>
    <w:qFormat/>
    <w:uiPriority w:val="0"/>
    <w:rPr>
      <w:rFonts w:ascii="Arial" w:hAnsi="Arial" w:cs="Arial"/>
      <w:b/>
      <w:color w:val="73B304"/>
      <w:sz w:val="21"/>
      <w:szCs w:val="21"/>
      <w:shd w:val="clear" w:fill="FFFFFF"/>
    </w:rPr>
  </w:style>
  <w:style w:type="character" w:customStyle="1" w:styleId="23">
    <w:name w:val="num"/>
    <w:basedOn w:val="6"/>
    <w:qFormat/>
    <w:uiPriority w:val="0"/>
    <w:rPr>
      <w:b/>
      <w:color w:val="FF7800"/>
    </w:rPr>
  </w:style>
  <w:style w:type="character" w:customStyle="1" w:styleId="24">
    <w:name w:val="answer-title12"/>
    <w:basedOn w:val="6"/>
    <w:qFormat/>
    <w:uiPriority w:val="0"/>
  </w:style>
  <w:style w:type="character" w:customStyle="1" w:styleId="25">
    <w:name w:val="release-day"/>
    <w:basedOn w:val="6"/>
    <w:qFormat/>
    <w:uiPriority w:val="0"/>
    <w:rPr>
      <w:bdr w:val="single" w:color="BDEBB0" w:sz="6" w:space="0"/>
      <w:shd w:val="clear" w:fill="F5FFF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568FF5-0888-474C-B78C-FF4617CE7B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861</Characters>
  <Lines>7</Lines>
  <Paragraphs>2</Paragraphs>
  <ScaleCrop>false</ScaleCrop>
  <LinksUpToDate>false</LinksUpToDate>
  <CharactersWithSpaces>1009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2017-04-17T06:44:00Z</dcterms:created>
  <dc:creator>HP</dc:creator>
  <cp:lastModifiedBy>Administrator</cp:lastModifiedBy>
  <cp:lastPrinted>2017-04-21T01:17:00Z</cp:lastPrinted>
  <dcterms:modified xsi:type="dcterms:W3CDTF">2017-04-21T08:06:06Z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